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A5" w:rsidRPr="00D76AA5" w:rsidRDefault="00D76AA5">
      <w:pPr>
        <w:rPr>
          <w:sz w:val="2"/>
          <w:szCs w:val="2"/>
        </w:rPr>
      </w:pPr>
      <w:r>
        <w:rPr>
          <w:sz w:val="2"/>
          <w:szCs w:val="2"/>
        </w:rPr>
        <w:t>3</w:t>
      </w: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1350"/>
        <w:gridCol w:w="810"/>
        <w:gridCol w:w="990"/>
        <w:gridCol w:w="450"/>
        <w:gridCol w:w="540"/>
        <w:gridCol w:w="360"/>
        <w:gridCol w:w="56"/>
        <w:gridCol w:w="304"/>
        <w:gridCol w:w="146"/>
        <w:gridCol w:w="304"/>
        <w:gridCol w:w="146"/>
        <w:gridCol w:w="214"/>
        <w:gridCol w:w="146"/>
        <w:gridCol w:w="214"/>
        <w:gridCol w:w="146"/>
        <w:gridCol w:w="304"/>
        <w:gridCol w:w="146"/>
        <w:gridCol w:w="364"/>
        <w:gridCol w:w="146"/>
        <w:gridCol w:w="334"/>
        <w:gridCol w:w="141"/>
        <w:gridCol w:w="146"/>
        <w:gridCol w:w="343"/>
        <w:gridCol w:w="132"/>
        <w:gridCol w:w="146"/>
        <w:gridCol w:w="389"/>
        <w:gridCol w:w="146"/>
        <w:gridCol w:w="389"/>
        <w:gridCol w:w="146"/>
        <w:gridCol w:w="389"/>
        <w:gridCol w:w="146"/>
        <w:gridCol w:w="389"/>
        <w:gridCol w:w="146"/>
        <w:gridCol w:w="389"/>
        <w:gridCol w:w="146"/>
        <w:gridCol w:w="389"/>
        <w:gridCol w:w="146"/>
        <w:gridCol w:w="389"/>
        <w:gridCol w:w="146"/>
        <w:gridCol w:w="423"/>
        <w:gridCol w:w="146"/>
      </w:tblGrid>
      <w:tr w:rsidR="00C5191D" w:rsidRPr="00D767DC" w:rsidTr="006666DB">
        <w:trPr>
          <w:gridAfter w:val="1"/>
          <w:wAfter w:w="146" w:type="dxa"/>
        </w:trPr>
        <w:tc>
          <w:tcPr>
            <w:tcW w:w="2358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1350" w:type="dxa"/>
          </w:tcPr>
          <w:p w:rsidR="00770E4B" w:rsidRPr="00D767DC" w:rsidRDefault="00D767DC" w:rsidP="00D767DC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Al nacer</w:t>
            </w:r>
          </w:p>
        </w:tc>
        <w:tc>
          <w:tcPr>
            <w:tcW w:w="810" w:type="dxa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6 m</w:t>
            </w:r>
            <w:r w:rsidR="00C5191D" w:rsidRPr="00D767DC">
              <w:rPr>
                <w:sz w:val="16"/>
                <w:szCs w:val="16"/>
                <w:lang w:val="es-ES"/>
              </w:rPr>
              <w:t>eses</w:t>
            </w:r>
          </w:p>
        </w:tc>
        <w:tc>
          <w:tcPr>
            <w:tcW w:w="990" w:type="dxa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450" w:type="dxa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540" w:type="dxa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360" w:type="dxa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360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450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360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360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450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510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621" w:type="dxa"/>
            <w:gridSpan w:val="3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621" w:type="dxa"/>
            <w:gridSpan w:val="3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13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14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16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17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18</w:t>
            </w:r>
          </w:p>
        </w:tc>
        <w:tc>
          <w:tcPr>
            <w:tcW w:w="535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19</w:t>
            </w:r>
          </w:p>
        </w:tc>
        <w:tc>
          <w:tcPr>
            <w:tcW w:w="569" w:type="dxa"/>
            <w:gridSpan w:val="2"/>
          </w:tcPr>
          <w:p w:rsidR="00770E4B" w:rsidRPr="00D767DC" w:rsidRDefault="00770E4B" w:rsidP="00770E4B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6"/>
                <w:szCs w:val="16"/>
                <w:lang w:val="es-ES"/>
              </w:rPr>
              <w:t>20</w:t>
            </w:r>
          </w:p>
        </w:tc>
      </w:tr>
      <w:tr w:rsidR="00C5191D" w:rsidRPr="00D767DC" w:rsidTr="006666DB">
        <w:trPr>
          <w:gridAfter w:val="1"/>
          <w:wAfter w:w="146" w:type="dxa"/>
        </w:trPr>
        <w:tc>
          <w:tcPr>
            <w:tcW w:w="2358" w:type="dxa"/>
          </w:tcPr>
          <w:p w:rsidR="00770E4B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Asesoría genética</w:t>
            </w:r>
            <w:r w:rsidR="00770E4B" w:rsidRPr="00D767DC">
              <w:rPr>
                <w:sz w:val="24"/>
                <w:szCs w:val="24"/>
                <w:vertAlign w:val="superscript"/>
                <w:lang w:val="es-ES"/>
              </w:rPr>
              <w:t>1</w:t>
            </w:r>
            <w:r w:rsidR="00770E4B" w:rsidRPr="00D767DC">
              <w:rPr>
                <w:sz w:val="18"/>
                <w:szCs w:val="18"/>
                <w:lang w:val="es-ES"/>
              </w:rPr>
              <w:t xml:space="preserve">, </w:t>
            </w:r>
            <w:r w:rsidRPr="00D767DC">
              <w:rPr>
                <w:sz w:val="18"/>
                <w:szCs w:val="18"/>
                <w:lang w:val="es-ES"/>
              </w:rPr>
              <w:t>cariotipo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770E4B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Información sobre el grupo de padres y grupo de apoyo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</w:tr>
      <w:tr w:rsidR="00C5191D" w:rsidRPr="006666DB" w:rsidTr="00C5191D">
        <w:trPr>
          <w:gridAfter w:val="1"/>
          <w:wAfter w:w="146" w:type="dxa"/>
        </w:trPr>
        <w:tc>
          <w:tcPr>
            <w:tcW w:w="2358" w:type="dxa"/>
          </w:tcPr>
          <w:p w:rsidR="001C094B" w:rsidRPr="00D767DC" w:rsidRDefault="00D767DC" w:rsidP="00D767DC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Hemograma completo para descartar trastorno mieloproliferativo transitorio</w:t>
            </w:r>
            <w:r w:rsidR="001C094B" w:rsidRPr="00D767DC">
              <w:rPr>
                <w:sz w:val="18"/>
                <w:szCs w:val="18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>policitemia</w:t>
            </w:r>
          </w:p>
        </w:tc>
        <w:tc>
          <w:tcPr>
            <w:tcW w:w="12546" w:type="dxa"/>
            <w:gridSpan w:val="40"/>
            <w:shd w:val="clear" w:color="auto" w:fill="BFBFBF" w:themeFill="background1" w:themeFillShade="BF"/>
          </w:tcPr>
          <w:p w:rsidR="001C094B" w:rsidRPr="00D767DC" w:rsidRDefault="001C094B" w:rsidP="001C094B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C094B" w:rsidRPr="00D767DC" w:rsidRDefault="00C5191D" w:rsidP="00CE63F9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Comunicación entre padres, grupos de apoyo, libros y </w:t>
            </w:r>
            <w:r w:rsidR="00CE63F9">
              <w:rPr>
                <w:sz w:val="18"/>
                <w:szCs w:val="18"/>
                <w:lang w:val="es-ES"/>
              </w:rPr>
              <w:t>folletos</w:t>
            </w:r>
            <w:r w:rsidRPr="00D767DC">
              <w:rPr>
                <w:sz w:val="18"/>
                <w:szCs w:val="18"/>
                <w:lang w:val="es-ES"/>
              </w:rPr>
              <w:t xml:space="preserve"> actualizados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770E4B" w:rsidRPr="00D767DC" w:rsidRDefault="00C5191D" w:rsidP="00061320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Evaluación deglu</w:t>
            </w:r>
            <w:r w:rsidR="00061320">
              <w:rPr>
                <w:sz w:val="18"/>
                <w:szCs w:val="18"/>
                <w:lang w:val="es-ES"/>
              </w:rPr>
              <w:t>toria si</w:t>
            </w:r>
            <w:r w:rsidRPr="00D767DC">
              <w:rPr>
                <w:sz w:val="18"/>
                <w:szCs w:val="18"/>
                <w:lang w:val="es-ES"/>
              </w:rPr>
              <w:t xml:space="preserve"> presenta problemas de alimentación o aspiración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</w:tr>
      <w:tr w:rsidR="00C5191D" w:rsidRPr="006666DB" w:rsidTr="0043745A">
        <w:trPr>
          <w:gridAfter w:val="1"/>
          <w:wAfter w:w="146" w:type="dxa"/>
        </w:trPr>
        <w:tc>
          <w:tcPr>
            <w:tcW w:w="2358" w:type="dxa"/>
          </w:tcPr>
          <w:p w:rsidR="001C094B" w:rsidRPr="00D767DC" w:rsidRDefault="001C094B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Hemoglobin</w:t>
            </w:r>
            <w:r w:rsidR="00C5191D" w:rsidRPr="00D767DC">
              <w:rPr>
                <w:sz w:val="18"/>
                <w:szCs w:val="18"/>
                <w:lang w:val="es-ES"/>
              </w:rPr>
              <w:t>a</w:t>
            </w:r>
          </w:p>
          <w:p w:rsidR="00A45E6F" w:rsidRPr="00D767DC" w:rsidRDefault="00A45E6F" w:rsidP="00C5191D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1350" w:type="dxa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10386" w:type="dxa"/>
            <w:gridSpan w:val="38"/>
            <w:shd w:val="clear" w:color="auto" w:fill="BFBFBF" w:themeFill="background1" w:themeFillShade="BF"/>
          </w:tcPr>
          <w:p w:rsidR="001C094B" w:rsidRPr="00D767DC" w:rsidRDefault="00CE63F9" w:rsidP="00CE63F9">
            <w:pPr>
              <w:jc w:val="center"/>
              <w:rPr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Nivel </w:t>
            </w:r>
            <w:r w:rsidR="00C5191D" w:rsidRPr="00D767DC">
              <w:rPr>
                <w:sz w:val="18"/>
                <w:szCs w:val="18"/>
                <w:lang w:val="es-ES"/>
              </w:rPr>
              <w:t>anual</w:t>
            </w:r>
            <w:r>
              <w:rPr>
                <w:sz w:val="18"/>
                <w:szCs w:val="18"/>
                <w:lang w:val="es-ES"/>
              </w:rPr>
              <w:t xml:space="preserve"> de la h</w:t>
            </w:r>
            <w:r w:rsidRPr="00D767DC">
              <w:rPr>
                <w:sz w:val="18"/>
                <w:szCs w:val="18"/>
                <w:lang w:val="es-ES"/>
              </w:rPr>
              <w:t xml:space="preserve">emoglobina </w:t>
            </w:r>
            <w:r w:rsidR="00C5191D" w:rsidRPr="00D767DC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 xml:space="preserve"> partir del </w:t>
            </w:r>
            <w:r w:rsidR="00C5191D" w:rsidRPr="00D767DC">
              <w:rPr>
                <w:sz w:val="18"/>
                <w:szCs w:val="18"/>
                <w:lang w:val="es-ES"/>
              </w:rPr>
              <w:t xml:space="preserve"> primer año de </w:t>
            </w:r>
            <w:r>
              <w:rPr>
                <w:sz w:val="18"/>
                <w:szCs w:val="18"/>
                <w:lang w:val="es-ES"/>
              </w:rPr>
              <w:t>vida</w:t>
            </w:r>
            <w:r w:rsidR="00C5191D" w:rsidRPr="00D767DC">
              <w:rPr>
                <w:sz w:val="18"/>
                <w:szCs w:val="18"/>
                <w:lang w:val="es-ES"/>
              </w:rPr>
              <w:t xml:space="preserve">. Si </w:t>
            </w:r>
            <w:r>
              <w:rPr>
                <w:sz w:val="18"/>
                <w:szCs w:val="18"/>
                <w:lang w:val="es-ES"/>
              </w:rPr>
              <w:t xml:space="preserve">la </w:t>
            </w:r>
            <w:r w:rsidR="00C5191D" w:rsidRPr="00D767DC">
              <w:rPr>
                <w:sz w:val="18"/>
                <w:szCs w:val="18"/>
                <w:lang w:val="es-ES"/>
              </w:rPr>
              <w:t xml:space="preserve">Hg &lt; 11, efectuar (a) Proteína C reactiva (CRP) y </w:t>
            </w:r>
            <w:r>
              <w:rPr>
                <w:sz w:val="18"/>
                <w:szCs w:val="18"/>
                <w:lang w:val="es-ES"/>
              </w:rPr>
              <w:t>ferritina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 o (b) </w:t>
            </w:r>
            <w:r w:rsidR="002405F4" w:rsidRPr="00D767DC">
              <w:rPr>
                <w:sz w:val="18"/>
                <w:szCs w:val="18"/>
                <w:lang w:val="es-ES"/>
              </w:rPr>
              <w:t xml:space="preserve">recuento de reticulocitos (CHr). Si existe el riesgo </w:t>
            </w:r>
            <w:r>
              <w:rPr>
                <w:sz w:val="18"/>
                <w:szCs w:val="18"/>
                <w:lang w:val="es-ES"/>
              </w:rPr>
              <w:t>de anemia ferropénica</w:t>
            </w:r>
            <w:r w:rsidR="002405F4" w:rsidRPr="00D767DC">
              <w:rPr>
                <w:sz w:val="18"/>
                <w:szCs w:val="18"/>
                <w:lang w:val="es-ES"/>
              </w:rPr>
              <w:t>, efectuar (a) o (b) independientemente.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770E4B" w:rsidRPr="00D767DC" w:rsidRDefault="00D767DC" w:rsidP="00D767DC">
            <w:pPr>
              <w:rPr>
                <w:sz w:val="18"/>
                <w:szCs w:val="18"/>
                <w:vertAlign w:val="superscript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Vacuna </w:t>
            </w:r>
            <w:proofErr w:type="spellStart"/>
            <w:r>
              <w:rPr>
                <w:sz w:val="18"/>
                <w:szCs w:val="18"/>
                <w:lang w:val="es-ES"/>
              </w:rPr>
              <w:t>neumocócica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contra 23 tipos de bacteria</w:t>
            </w:r>
            <w:r w:rsidR="00770E4B" w:rsidRPr="00D767DC">
              <w:rPr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135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770E4B" w:rsidRPr="00D767DC" w:rsidRDefault="00770E4B">
            <w:pPr>
              <w:rPr>
                <w:lang w:val="es-ES"/>
              </w:rPr>
            </w:pP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1C094B" w:rsidRPr="00D767DC" w:rsidRDefault="001C094B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Cardiolog</w:t>
            </w:r>
            <w:r w:rsidR="00C5191D" w:rsidRPr="00D767DC">
              <w:rPr>
                <w:sz w:val="18"/>
                <w:szCs w:val="18"/>
                <w:lang w:val="es-ES"/>
              </w:rPr>
              <w:t>ía</w:t>
            </w:r>
          </w:p>
          <w:p w:rsidR="00D76AA5" w:rsidRPr="00D767DC" w:rsidRDefault="00D76AA5" w:rsidP="00C5191D">
            <w:pPr>
              <w:rPr>
                <w:sz w:val="8"/>
                <w:szCs w:val="8"/>
                <w:lang w:val="es-ES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1C094B" w:rsidRPr="00D767DC" w:rsidRDefault="001C094B" w:rsidP="001D3D2D">
            <w:pPr>
              <w:jc w:val="center"/>
              <w:rPr>
                <w:lang w:val="es-ES"/>
              </w:rPr>
            </w:pPr>
            <w:r w:rsidRPr="00CE63F9">
              <w:rPr>
                <w:sz w:val="16"/>
                <w:szCs w:val="18"/>
                <w:lang w:val="es-ES"/>
              </w:rPr>
              <w:t>Ec</w:t>
            </w:r>
            <w:r w:rsidR="001D3D2D" w:rsidRPr="00CE63F9">
              <w:rPr>
                <w:sz w:val="16"/>
                <w:szCs w:val="18"/>
                <w:lang w:val="es-ES"/>
              </w:rPr>
              <w:t>ocardiograma</w:t>
            </w:r>
            <w:r w:rsidRPr="00D767DC">
              <w:rPr>
                <w:sz w:val="18"/>
                <w:szCs w:val="18"/>
                <w:vertAlign w:val="superscript"/>
                <w:lang w:val="es-ES"/>
              </w:rPr>
              <w:t>4</w:t>
            </w:r>
          </w:p>
        </w:tc>
        <w:tc>
          <w:tcPr>
            <w:tcW w:w="810" w:type="dxa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990" w:type="dxa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450" w:type="dxa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540" w:type="dxa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360" w:type="dxa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1C094B" w:rsidRPr="00D767DC" w:rsidRDefault="001C094B" w:rsidP="001C094B">
            <w:pPr>
              <w:jc w:val="center"/>
              <w:rPr>
                <w:lang w:val="es-ES"/>
              </w:rPr>
            </w:pPr>
          </w:p>
        </w:tc>
        <w:tc>
          <w:tcPr>
            <w:tcW w:w="4314" w:type="dxa"/>
            <w:gridSpan w:val="16"/>
            <w:shd w:val="clear" w:color="auto" w:fill="BFBFBF" w:themeFill="background1" w:themeFillShade="BF"/>
          </w:tcPr>
          <w:p w:rsidR="001C094B" w:rsidRPr="00D767DC" w:rsidRDefault="003A599F" w:rsidP="003A599F">
            <w:pPr>
              <w:jc w:val="center"/>
              <w:rPr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Detección de</w:t>
            </w:r>
            <w:r w:rsidR="001C094B" w:rsidRPr="00D767DC">
              <w:rPr>
                <w:sz w:val="18"/>
                <w:szCs w:val="18"/>
                <w:lang w:val="es-ES"/>
              </w:rPr>
              <w:t xml:space="preserve"> </w:t>
            </w:r>
            <w:r w:rsidR="009E6D02" w:rsidRPr="00D767DC">
              <w:rPr>
                <w:sz w:val="18"/>
                <w:szCs w:val="18"/>
                <w:lang w:val="es-ES"/>
              </w:rPr>
              <w:t>v</w:t>
            </w:r>
            <w:r>
              <w:rPr>
                <w:sz w:val="18"/>
                <w:szCs w:val="18"/>
                <w:lang w:val="es-ES"/>
              </w:rPr>
              <w:t>a</w:t>
            </w:r>
            <w:r w:rsidR="009E6D02" w:rsidRPr="00D767DC">
              <w:rPr>
                <w:sz w:val="18"/>
                <w:szCs w:val="18"/>
                <w:lang w:val="es-ES"/>
              </w:rPr>
              <w:t>lvul</w:t>
            </w:r>
            <w:r>
              <w:rPr>
                <w:sz w:val="18"/>
                <w:szCs w:val="18"/>
                <w:lang w:val="es-ES"/>
              </w:rPr>
              <w:t>opatía</w:t>
            </w:r>
            <w:r w:rsidR="009E6D02" w:rsidRPr="00D767DC">
              <w:rPr>
                <w:sz w:val="18"/>
                <w:szCs w:val="18"/>
                <w:lang w:val="es-ES"/>
              </w:rPr>
              <w:t xml:space="preserve"> mitral</w:t>
            </w:r>
            <w:r w:rsidR="001C094B" w:rsidRPr="00D767DC">
              <w:rPr>
                <w:sz w:val="18"/>
                <w:szCs w:val="18"/>
                <w:lang w:val="es-ES"/>
              </w:rPr>
              <w:t xml:space="preserve"> o </w:t>
            </w:r>
            <w:r w:rsidR="00CE63F9">
              <w:rPr>
                <w:sz w:val="18"/>
                <w:szCs w:val="18"/>
                <w:lang w:val="es-ES"/>
              </w:rPr>
              <w:t xml:space="preserve">aórtica </w:t>
            </w:r>
            <w:r w:rsidR="009E6D02" w:rsidRPr="00D767DC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C5191D" w:rsidRPr="006666DB" w:rsidTr="00D767DC">
        <w:trPr>
          <w:gridAfter w:val="1"/>
          <w:wAfter w:w="146" w:type="dxa"/>
        </w:trPr>
        <w:tc>
          <w:tcPr>
            <w:tcW w:w="2358" w:type="dxa"/>
          </w:tcPr>
          <w:p w:rsidR="001C094B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Evaluación de </w:t>
            </w:r>
            <w:r w:rsidR="00061320">
              <w:rPr>
                <w:sz w:val="18"/>
                <w:szCs w:val="18"/>
                <w:lang w:val="es-ES"/>
              </w:rPr>
              <w:t xml:space="preserve">la </w:t>
            </w:r>
            <w:r w:rsidRPr="00D767DC">
              <w:rPr>
                <w:sz w:val="18"/>
                <w:szCs w:val="18"/>
                <w:lang w:val="es-ES"/>
              </w:rPr>
              <w:t>audición</w:t>
            </w:r>
          </w:p>
          <w:p w:rsidR="001C094B" w:rsidRPr="00D767DC" w:rsidRDefault="001C094B" w:rsidP="00C5191D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1C094B" w:rsidRPr="00CE63F9" w:rsidRDefault="00D767DC" w:rsidP="00D767DC">
            <w:pPr>
              <w:jc w:val="center"/>
              <w:rPr>
                <w:sz w:val="16"/>
                <w:szCs w:val="16"/>
                <w:lang w:val="es-ES"/>
              </w:rPr>
            </w:pPr>
            <w:r w:rsidRPr="00CE63F9">
              <w:rPr>
                <w:sz w:val="16"/>
                <w:szCs w:val="16"/>
                <w:lang w:val="es-ES"/>
              </w:rPr>
              <w:t xml:space="preserve">Respuesta auditiva cerebral </w:t>
            </w:r>
            <w:r w:rsidRPr="00CE63F9">
              <w:rPr>
                <w:sz w:val="14"/>
                <w:szCs w:val="16"/>
                <w:lang w:val="es-ES"/>
              </w:rPr>
              <w:t>(</w:t>
            </w:r>
            <w:r w:rsidR="001C094B" w:rsidRPr="00CE63F9">
              <w:rPr>
                <w:sz w:val="14"/>
                <w:szCs w:val="16"/>
                <w:lang w:val="es-ES"/>
              </w:rPr>
              <w:t>ABR</w:t>
            </w:r>
            <w:r w:rsidRPr="00CE63F9">
              <w:rPr>
                <w:sz w:val="14"/>
                <w:szCs w:val="16"/>
                <w:lang w:val="es-ES"/>
              </w:rPr>
              <w:t xml:space="preserve">) </w:t>
            </w:r>
            <w:r w:rsidRPr="00CE63F9">
              <w:rPr>
                <w:sz w:val="16"/>
                <w:szCs w:val="16"/>
                <w:lang w:val="es-ES"/>
              </w:rPr>
              <w:t xml:space="preserve">o evaluación de emisiones otoacústicas </w:t>
            </w:r>
            <w:r w:rsidRPr="00CE63F9">
              <w:rPr>
                <w:sz w:val="14"/>
                <w:szCs w:val="16"/>
                <w:lang w:val="es-ES"/>
              </w:rPr>
              <w:t>(</w:t>
            </w:r>
            <w:r w:rsidR="001C094B" w:rsidRPr="00CE63F9">
              <w:rPr>
                <w:sz w:val="14"/>
                <w:szCs w:val="16"/>
                <w:lang w:val="es-ES"/>
              </w:rPr>
              <w:t>OAE</w:t>
            </w:r>
            <w:r w:rsidRPr="00CE63F9">
              <w:rPr>
                <w:sz w:val="14"/>
                <w:szCs w:val="16"/>
                <w:lang w:val="es-ES"/>
              </w:rPr>
              <w:t>)</w:t>
            </w:r>
          </w:p>
        </w:tc>
        <w:tc>
          <w:tcPr>
            <w:tcW w:w="9557" w:type="dxa"/>
            <w:gridSpan w:val="33"/>
            <w:shd w:val="clear" w:color="auto" w:fill="BFBFBF" w:themeFill="background1" w:themeFillShade="BF"/>
          </w:tcPr>
          <w:p w:rsidR="001C094B" w:rsidRPr="00D767DC" w:rsidRDefault="001D3D2D" w:rsidP="00CE63F9">
            <w:pPr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Cada 6 meses hasta que cumpl</w:t>
            </w:r>
            <w:r w:rsidR="00CE63F9">
              <w:rPr>
                <w:sz w:val="18"/>
                <w:szCs w:val="18"/>
                <w:lang w:val="es-ES"/>
              </w:rPr>
              <w:t xml:space="preserve">a los 3 años. </w:t>
            </w:r>
            <w:r w:rsidRPr="00D767DC">
              <w:rPr>
                <w:sz w:val="18"/>
                <w:szCs w:val="18"/>
                <w:lang w:val="es-ES"/>
              </w:rPr>
              <w:t xml:space="preserve">Después, </w:t>
            </w:r>
            <w:r w:rsidR="00CE63F9">
              <w:rPr>
                <w:sz w:val="18"/>
                <w:szCs w:val="18"/>
                <w:lang w:val="es-ES"/>
              </w:rPr>
              <w:t>una vez al año</w:t>
            </w:r>
            <w:r w:rsidR="001C094B" w:rsidRPr="00D767DC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  <w:shd w:val="clear" w:color="auto" w:fill="BFBFBF" w:themeFill="background1" w:themeFillShade="BF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2"/>
                <w:szCs w:val="12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Evaluación de oftalmología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A45E6F" w:rsidRPr="00D767DC" w:rsidRDefault="001D3D2D" w:rsidP="001C094B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Reflejo rojo</w:t>
            </w:r>
          </w:p>
        </w:tc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A45E6F" w:rsidRPr="00D767DC" w:rsidRDefault="001D3D2D" w:rsidP="003A599F">
            <w:pPr>
              <w:jc w:val="center"/>
              <w:rPr>
                <w:sz w:val="16"/>
                <w:szCs w:val="16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Cita </w:t>
            </w:r>
            <w:r w:rsidR="003A599F">
              <w:rPr>
                <w:sz w:val="18"/>
                <w:szCs w:val="18"/>
                <w:lang w:val="es-ES"/>
              </w:rPr>
              <w:t>en</w:t>
            </w:r>
            <w:r w:rsidRPr="00D767DC">
              <w:rPr>
                <w:sz w:val="18"/>
                <w:szCs w:val="18"/>
                <w:lang w:val="es-ES"/>
              </w:rPr>
              <w:t xml:space="preserve"> oftalmología</w:t>
            </w:r>
          </w:p>
        </w:tc>
        <w:tc>
          <w:tcPr>
            <w:tcW w:w="1710" w:type="dxa"/>
            <w:gridSpan w:val="5"/>
            <w:shd w:val="clear" w:color="auto" w:fill="BFBFBF" w:themeFill="background1" w:themeFillShade="BF"/>
          </w:tcPr>
          <w:p w:rsidR="00A45E6F" w:rsidRPr="00D767DC" w:rsidRDefault="001D3D2D" w:rsidP="009E6D02">
            <w:pPr>
              <w:jc w:val="center"/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Cita anual de oftalmología</w:t>
            </w:r>
          </w:p>
        </w:tc>
        <w:tc>
          <w:tcPr>
            <w:tcW w:w="3907" w:type="dxa"/>
            <w:gridSpan w:val="18"/>
            <w:shd w:val="clear" w:color="auto" w:fill="BFBFBF" w:themeFill="background1" w:themeFillShade="BF"/>
          </w:tcPr>
          <w:p w:rsidR="00A45E6F" w:rsidRPr="00D767DC" w:rsidRDefault="003A599F" w:rsidP="001C094B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Cita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D767DC">
              <w:rPr>
                <w:sz w:val="18"/>
                <w:szCs w:val="18"/>
                <w:lang w:val="es-ES"/>
              </w:rPr>
              <w:t xml:space="preserve"> oftalmología</w:t>
            </w:r>
            <w:r>
              <w:rPr>
                <w:sz w:val="18"/>
                <w:szCs w:val="18"/>
                <w:lang w:val="es-ES"/>
              </w:rPr>
              <w:t xml:space="preserve"> cada dos meses</w:t>
            </w:r>
          </w:p>
        </w:tc>
        <w:tc>
          <w:tcPr>
            <w:tcW w:w="3779" w:type="dxa"/>
            <w:gridSpan w:val="14"/>
            <w:shd w:val="clear" w:color="auto" w:fill="BFBFBF" w:themeFill="background1" w:themeFillShade="BF"/>
          </w:tcPr>
          <w:p w:rsidR="00A45E6F" w:rsidRPr="00D767DC" w:rsidRDefault="003A599F" w:rsidP="00A45E6F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Cita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D767DC">
              <w:rPr>
                <w:sz w:val="18"/>
                <w:szCs w:val="18"/>
                <w:lang w:val="es-ES"/>
              </w:rPr>
              <w:t xml:space="preserve"> oftalmología</w:t>
            </w:r>
            <w:r>
              <w:rPr>
                <w:sz w:val="18"/>
                <w:szCs w:val="18"/>
                <w:lang w:val="es-ES"/>
              </w:rPr>
              <w:t xml:space="preserve"> cada tres meses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Evaluación para </w:t>
            </w:r>
            <w:r w:rsidR="00061320">
              <w:rPr>
                <w:sz w:val="18"/>
                <w:szCs w:val="18"/>
                <w:lang w:val="es-ES"/>
              </w:rPr>
              <w:t>detectar celiaquí</w:t>
            </w:r>
            <w:r w:rsidRPr="00D767DC">
              <w:rPr>
                <w:sz w:val="18"/>
                <w:szCs w:val="18"/>
                <w:lang w:val="es-ES"/>
              </w:rPr>
              <w:t>a</w:t>
            </w:r>
          </w:p>
          <w:p w:rsidR="00A45E6F" w:rsidRPr="00D767DC" w:rsidRDefault="00A45E6F" w:rsidP="00C5191D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1350" w:type="dxa"/>
          </w:tcPr>
          <w:p w:rsidR="00A45E6F" w:rsidRPr="00D767DC" w:rsidRDefault="00A45E6F" w:rsidP="001C094B">
            <w:pPr>
              <w:jc w:val="center"/>
              <w:rPr>
                <w:lang w:val="es-ES"/>
              </w:rPr>
            </w:pPr>
          </w:p>
        </w:tc>
        <w:tc>
          <w:tcPr>
            <w:tcW w:w="810" w:type="dxa"/>
          </w:tcPr>
          <w:p w:rsidR="00A45E6F" w:rsidRPr="00D767DC" w:rsidRDefault="00A45E6F" w:rsidP="001C094B">
            <w:pPr>
              <w:jc w:val="center"/>
              <w:rPr>
                <w:lang w:val="es-ES"/>
              </w:rPr>
            </w:pPr>
          </w:p>
        </w:tc>
        <w:tc>
          <w:tcPr>
            <w:tcW w:w="990" w:type="dxa"/>
          </w:tcPr>
          <w:p w:rsidR="00A45E6F" w:rsidRPr="00D767DC" w:rsidRDefault="00A45E6F" w:rsidP="001C094B">
            <w:pPr>
              <w:jc w:val="center"/>
              <w:rPr>
                <w:lang w:val="es-ES"/>
              </w:rPr>
            </w:pPr>
          </w:p>
        </w:tc>
        <w:tc>
          <w:tcPr>
            <w:tcW w:w="450" w:type="dxa"/>
          </w:tcPr>
          <w:p w:rsidR="00A45E6F" w:rsidRPr="00D767DC" w:rsidRDefault="00A45E6F" w:rsidP="001C094B">
            <w:pPr>
              <w:jc w:val="center"/>
              <w:rPr>
                <w:lang w:val="es-ES"/>
              </w:rPr>
            </w:pPr>
          </w:p>
        </w:tc>
        <w:tc>
          <w:tcPr>
            <w:tcW w:w="8946" w:type="dxa"/>
            <w:gridSpan w:val="36"/>
            <w:shd w:val="clear" w:color="auto" w:fill="BFBFBF" w:themeFill="background1" w:themeFillShade="BF"/>
          </w:tcPr>
          <w:p w:rsidR="00A45E6F" w:rsidRPr="00D767DC" w:rsidRDefault="00A45E6F" w:rsidP="003A599F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(</w:t>
            </w:r>
            <w:r w:rsidR="003A599F">
              <w:rPr>
                <w:sz w:val="18"/>
                <w:szCs w:val="18"/>
                <w:lang w:val="es-ES"/>
              </w:rPr>
              <w:t>E</w:t>
            </w:r>
            <w:r w:rsidR="009E6D02" w:rsidRPr="00D767DC">
              <w:rPr>
                <w:sz w:val="18"/>
                <w:szCs w:val="18"/>
                <w:lang w:val="es-ES"/>
              </w:rPr>
              <w:t>valua</w:t>
            </w:r>
            <w:r w:rsidR="003A599F">
              <w:rPr>
                <w:sz w:val="18"/>
                <w:szCs w:val="18"/>
                <w:lang w:val="es-ES"/>
              </w:rPr>
              <w:t xml:space="preserve">r 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solamente si </w:t>
            </w:r>
            <w:r w:rsidR="003A599F">
              <w:rPr>
                <w:sz w:val="18"/>
                <w:szCs w:val="18"/>
                <w:lang w:val="es-ES"/>
              </w:rPr>
              <w:t>manifiesta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 señales y síntomas</w:t>
            </w:r>
            <w:r w:rsidRPr="00D767DC">
              <w:rPr>
                <w:sz w:val="18"/>
                <w:szCs w:val="18"/>
                <w:lang w:val="es-ES"/>
              </w:rPr>
              <w:t>)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061320" w:rsidP="00C5191D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Glándula t</w:t>
            </w:r>
            <w:r w:rsidR="00D767DC">
              <w:rPr>
                <w:sz w:val="18"/>
                <w:szCs w:val="18"/>
                <w:lang w:val="es-ES"/>
              </w:rPr>
              <w:t>i</w:t>
            </w:r>
            <w:r w:rsidR="00D767DC" w:rsidRPr="00D767DC">
              <w:rPr>
                <w:sz w:val="18"/>
                <w:szCs w:val="18"/>
                <w:lang w:val="es-ES"/>
              </w:rPr>
              <w:t>roidea</w:t>
            </w:r>
            <w:r w:rsidR="00A45E6F" w:rsidRPr="00D767DC">
              <w:rPr>
                <w:sz w:val="18"/>
                <w:szCs w:val="18"/>
                <w:lang w:val="es-ES"/>
              </w:rPr>
              <w:t xml:space="preserve"> – </w:t>
            </w:r>
            <w:r w:rsidR="00C5191D" w:rsidRPr="00D767DC">
              <w:rPr>
                <w:sz w:val="18"/>
                <w:szCs w:val="18"/>
                <w:lang w:val="es-ES"/>
              </w:rPr>
              <w:t>hormona estimulante (</w:t>
            </w:r>
            <w:r w:rsidR="00A45E6F" w:rsidRPr="00D767DC">
              <w:rPr>
                <w:sz w:val="18"/>
                <w:szCs w:val="18"/>
                <w:lang w:val="es-ES"/>
              </w:rPr>
              <w:t>TSH</w:t>
            </w:r>
            <w:r w:rsidR="00C5191D" w:rsidRPr="00D767DC">
              <w:rPr>
                <w:sz w:val="18"/>
                <w:szCs w:val="18"/>
                <w:lang w:val="es-ES"/>
              </w:rPr>
              <w:t>)</w:t>
            </w:r>
            <w:r w:rsidR="00A45E6F" w:rsidRPr="00D767DC">
              <w:rPr>
                <w:sz w:val="18"/>
                <w:szCs w:val="18"/>
                <w:lang w:val="es-ES"/>
              </w:rPr>
              <w:t xml:space="preserve">, </w:t>
            </w:r>
            <w:r w:rsidR="00C5191D" w:rsidRPr="00D767DC">
              <w:rPr>
                <w:sz w:val="18"/>
                <w:szCs w:val="18"/>
                <w:lang w:val="es-ES"/>
              </w:rPr>
              <w:t>tiroxina (</w:t>
            </w:r>
            <w:r w:rsidR="00A45E6F" w:rsidRPr="00D767DC">
              <w:rPr>
                <w:sz w:val="18"/>
                <w:szCs w:val="18"/>
                <w:lang w:val="es-ES"/>
              </w:rPr>
              <w:t>T4</w:t>
            </w:r>
            <w:r w:rsidR="00C5191D" w:rsidRPr="00D767DC">
              <w:rPr>
                <w:sz w:val="18"/>
                <w:szCs w:val="18"/>
                <w:lang w:val="es-ES"/>
              </w:rPr>
              <w:t>)</w:t>
            </w:r>
          </w:p>
          <w:p w:rsidR="00A45E6F" w:rsidRPr="00D767DC" w:rsidRDefault="00A45E6F" w:rsidP="00C5191D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45E6F" w:rsidRPr="00D767DC" w:rsidRDefault="00C5191D" w:rsidP="001C094B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Examen estatal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45E6F" w:rsidRPr="00D767DC" w:rsidRDefault="00C5191D" w:rsidP="001C094B">
            <w:pPr>
              <w:jc w:val="center"/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Examen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A45E6F" w:rsidRPr="006666DB" w:rsidRDefault="00C5191D" w:rsidP="001C094B">
            <w:pPr>
              <w:jc w:val="center"/>
              <w:rPr>
                <w:sz w:val="18"/>
                <w:szCs w:val="18"/>
                <w:lang w:val="es-ES"/>
              </w:rPr>
            </w:pPr>
            <w:r w:rsidRPr="006666DB">
              <w:rPr>
                <w:sz w:val="18"/>
                <w:szCs w:val="18"/>
                <w:lang w:val="es-ES"/>
              </w:rPr>
              <w:t>Examen</w:t>
            </w:r>
          </w:p>
        </w:tc>
        <w:tc>
          <w:tcPr>
            <w:tcW w:w="9396" w:type="dxa"/>
            <w:gridSpan w:val="37"/>
            <w:shd w:val="clear" w:color="auto" w:fill="BFBFBF" w:themeFill="background1" w:themeFillShade="BF"/>
          </w:tcPr>
          <w:p w:rsidR="00A45E6F" w:rsidRPr="00D767DC" w:rsidRDefault="001D3D2D" w:rsidP="003A599F">
            <w:pPr>
              <w:jc w:val="center"/>
              <w:rPr>
                <w:lang w:val="es-ES"/>
              </w:rPr>
            </w:pPr>
            <w:r w:rsidRPr="00D767DC">
              <w:rPr>
                <w:sz w:val="20"/>
                <w:szCs w:val="20"/>
                <w:lang w:val="es-ES"/>
              </w:rPr>
              <w:t>Examen an</w:t>
            </w:r>
            <w:r w:rsidR="00C5191D" w:rsidRPr="00D767DC">
              <w:rPr>
                <w:sz w:val="20"/>
                <w:szCs w:val="20"/>
                <w:lang w:val="es-ES"/>
              </w:rPr>
              <w:t xml:space="preserve">ual </w:t>
            </w:r>
            <w:r w:rsidR="003A599F">
              <w:rPr>
                <w:sz w:val="20"/>
                <w:szCs w:val="20"/>
                <w:lang w:val="es-ES"/>
              </w:rPr>
              <w:t>para la</w:t>
            </w:r>
            <w:r w:rsidR="00C5191D" w:rsidRPr="00D767DC">
              <w:rPr>
                <w:sz w:val="20"/>
                <w:szCs w:val="20"/>
                <w:lang w:val="es-ES"/>
              </w:rPr>
              <w:t xml:space="preserve"> hormona estimulante (TSH) y tiroxina (</w:t>
            </w:r>
            <w:r w:rsidR="00A45E6F" w:rsidRPr="00D767DC">
              <w:rPr>
                <w:sz w:val="20"/>
                <w:szCs w:val="20"/>
                <w:lang w:val="es-ES"/>
              </w:rPr>
              <w:t>T4</w:t>
            </w:r>
            <w:r w:rsidR="00C5191D" w:rsidRPr="00D767DC">
              <w:rPr>
                <w:sz w:val="20"/>
                <w:szCs w:val="20"/>
                <w:lang w:val="es-ES"/>
              </w:rPr>
              <w:t>)</w:t>
            </w:r>
          </w:p>
        </w:tc>
      </w:tr>
      <w:tr w:rsidR="00C5191D" w:rsidRPr="00D767DC" w:rsidTr="006666DB">
        <w:tc>
          <w:tcPr>
            <w:tcW w:w="2358" w:type="dxa"/>
          </w:tcPr>
          <w:p w:rsidR="001C094B" w:rsidRPr="00D767DC" w:rsidRDefault="00C5191D" w:rsidP="00C5191D">
            <w:pPr>
              <w:rPr>
                <w:sz w:val="24"/>
                <w:szCs w:val="24"/>
                <w:vertAlign w:val="superscript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Radiografía del cuello (Inestabilidad atla</w:t>
            </w:r>
            <w:r w:rsidR="003A599F">
              <w:rPr>
                <w:sz w:val="18"/>
                <w:szCs w:val="18"/>
                <w:lang w:val="es-ES"/>
              </w:rPr>
              <w:t>ntoaxial –</w:t>
            </w:r>
            <w:r w:rsidR="001C094B" w:rsidRPr="00D767DC">
              <w:rPr>
                <w:sz w:val="18"/>
                <w:szCs w:val="18"/>
                <w:lang w:val="es-ES"/>
              </w:rPr>
              <w:t>AAI</w:t>
            </w:r>
            <w:r w:rsidR="003A599F">
              <w:rPr>
                <w:sz w:val="18"/>
                <w:szCs w:val="18"/>
                <w:lang w:val="es-ES"/>
              </w:rPr>
              <w:t>,</w:t>
            </w:r>
            <w:r w:rsidRPr="00D767DC">
              <w:rPr>
                <w:sz w:val="18"/>
                <w:szCs w:val="18"/>
                <w:lang w:val="es-ES"/>
              </w:rPr>
              <w:t xml:space="preserve"> </w:t>
            </w:r>
            <w:r w:rsidRPr="003A599F">
              <w:rPr>
                <w:sz w:val="16"/>
                <w:szCs w:val="16"/>
                <w:lang w:val="es-ES"/>
              </w:rPr>
              <w:t>por sus siglas en inglés</w:t>
            </w:r>
            <w:r w:rsidR="001C094B" w:rsidRPr="00D767DC">
              <w:rPr>
                <w:sz w:val="18"/>
                <w:szCs w:val="18"/>
                <w:lang w:val="es-ES"/>
              </w:rPr>
              <w:t xml:space="preserve">) </w:t>
            </w:r>
            <w:r w:rsidR="001C094B" w:rsidRPr="00D767DC">
              <w:rPr>
                <w:sz w:val="24"/>
                <w:szCs w:val="24"/>
                <w:vertAlign w:val="superscript"/>
                <w:lang w:val="es-ES"/>
              </w:rPr>
              <w:t>3</w:t>
            </w:r>
          </w:p>
          <w:p w:rsidR="00D76AA5" w:rsidRPr="00D767DC" w:rsidRDefault="00D76AA5" w:rsidP="00C5191D">
            <w:pPr>
              <w:rPr>
                <w:sz w:val="8"/>
                <w:szCs w:val="8"/>
                <w:lang w:val="es-ES"/>
              </w:rPr>
            </w:pPr>
          </w:p>
        </w:tc>
        <w:tc>
          <w:tcPr>
            <w:tcW w:w="1350" w:type="dxa"/>
            <w:vAlign w:val="center"/>
          </w:tcPr>
          <w:p w:rsidR="001C094B" w:rsidRPr="00D767DC" w:rsidRDefault="001C094B" w:rsidP="00C5191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10" w:type="dxa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1C094B" w:rsidRPr="00D767DC" w:rsidRDefault="00A45E6F">
            <w:pPr>
              <w:rPr>
                <w:lang w:val="es-ES"/>
              </w:rPr>
            </w:pPr>
            <w:r w:rsidRPr="00D767DC">
              <w:rPr>
                <w:rFonts w:ascii="Algerian" w:hAnsi="Algerian"/>
                <w:sz w:val="20"/>
                <w:szCs w:val="20"/>
                <w:lang w:val="es-ES"/>
              </w:rPr>
              <w:sym w:font="Wingdings" w:char="F0FC"/>
            </w:r>
            <w:r w:rsidRPr="003A599F">
              <w:rPr>
                <w:rFonts w:ascii="Algerian" w:hAnsi="Algerian"/>
                <w:sz w:val="32"/>
                <w:szCs w:val="24"/>
                <w:vertAlign w:val="superscript"/>
                <w:lang w:val="es-ES"/>
              </w:rPr>
              <w:t>3</w:t>
            </w:r>
          </w:p>
        </w:tc>
        <w:tc>
          <w:tcPr>
            <w:tcW w:w="416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1C094B" w:rsidRPr="00D767DC" w:rsidRDefault="001C094B">
            <w:pPr>
              <w:rPr>
                <w:lang w:val="es-ES"/>
              </w:rPr>
            </w:pPr>
          </w:p>
        </w:tc>
      </w:tr>
      <w:tr w:rsidR="00C5191D" w:rsidRPr="006666DB" w:rsidTr="0043745A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Examen de</w:t>
            </w:r>
            <w:r w:rsidR="00CE63F9">
              <w:rPr>
                <w:sz w:val="18"/>
                <w:szCs w:val="18"/>
                <w:lang w:val="es-ES"/>
              </w:rPr>
              <w:t xml:space="preserve"> odontología</w:t>
            </w:r>
          </w:p>
          <w:p w:rsidR="00D76AA5" w:rsidRPr="00D767DC" w:rsidRDefault="00D76AA5" w:rsidP="00C5191D">
            <w:pPr>
              <w:rPr>
                <w:sz w:val="8"/>
                <w:szCs w:val="8"/>
                <w:lang w:val="es-ES"/>
              </w:rPr>
            </w:pPr>
          </w:p>
        </w:tc>
        <w:tc>
          <w:tcPr>
            <w:tcW w:w="1350" w:type="dxa"/>
            <w:vAlign w:val="center"/>
          </w:tcPr>
          <w:p w:rsidR="00A45E6F" w:rsidRPr="00D767DC" w:rsidRDefault="00A45E6F" w:rsidP="00C5191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1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10386" w:type="dxa"/>
            <w:gridSpan w:val="38"/>
            <w:shd w:val="clear" w:color="auto" w:fill="BFBFBF" w:themeFill="background1" w:themeFillShade="BF"/>
          </w:tcPr>
          <w:p w:rsidR="00A45E6F" w:rsidRPr="00D767DC" w:rsidRDefault="009E6D02" w:rsidP="003A599F">
            <w:pPr>
              <w:jc w:val="center"/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Exámenes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 anuales</w:t>
            </w:r>
            <w:r w:rsidR="003A599F">
              <w:rPr>
                <w:sz w:val="18"/>
                <w:szCs w:val="18"/>
                <w:lang w:val="es-ES"/>
              </w:rPr>
              <w:t xml:space="preserve"> en odontología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. </w:t>
            </w:r>
            <w:r w:rsidRPr="00D767DC">
              <w:rPr>
                <w:sz w:val="18"/>
                <w:szCs w:val="18"/>
                <w:lang w:val="es-ES"/>
              </w:rPr>
              <w:t>Recorda</w:t>
            </w:r>
            <w:r w:rsidR="003A599F">
              <w:rPr>
                <w:sz w:val="18"/>
                <w:szCs w:val="18"/>
                <w:lang w:val="es-ES"/>
              </w:rPr>
              <w:t>torio par</w:t>
            </w:r>
            <w:r w:rsidRPr="00D767DC">
              <w:rPr>
                <w:sz w:val="18"/>
                <w:szCs w:val="18"/>
                <w:lang w:val="es-ES"/>
              </w:rPr>
              <w:t>a los padres</w:t>
            </w:r>
            <w:r w:rsidR="003A599F">
              <w:rPr>
                <w:sz w:val="18"/>
                <w:szCs w:val="18"/>
                <w:lang w:val="es-ES"/>
              </w:rPr>
              <w:t>:</w:t>
            </w:r>
            <w:r w:rsidRPr="00D767DC">
              <w:rPr>
                <w:sz w:val="18"/>
                <w:szCs w:val="18"/>
                <w:lang w:val="es-ES"/>
              </w:rPr>
              <w:t xml:space="preserve"> la erupción dental retrasada o irregular</w:t>
            </w:r>
            <w:r w:rsidR="003A599F">
              <w:rPr>
                <w:sz w:val="18"/>
                <w:szCs w:val="18"/>
                <w:lang w:val="es-ES"/>
              </w:rPr>
              <w:t xml:space="preserve"> y la hipodoncia son </w:t>
            </w:r>
            <w:r w:rsidRPr="00D767DC">
              <w:rPr>
                <w:sz w:val="18"/>
                <w:szCs w:val="18"/>
                <w:lang w:val="es-ES"/>
              </w:rPr>
              <w:t>comunes.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Estudio del sueño antes de los 4 años </w:t>
            </w:r>
          </w:p>
          <w:p w:rsidR="00D76AA5" w:rsidRPr="00D767DC" w:rsidRDefault="00D76AA5" w:rsidP="00C5191D">
            <w:pPr>
              <w:rPr>
                <w:sz w:val="8"/>
                <w:szCs w:val="8"/>
                <w:lang w:val="es-ES"/>
              </w:rPr>
            </w:pPr>
          </w:p>
        </w:tc>
        <w:tc>
          <w:tcPr>
            <w:tcW w:w="4500" w:type="dxa"/>
            <w:gridSpan w:val="6"/>
            <w:shd w:val="clear" w:color="auto" w:fill="BFBFBF" w:themeFill="background1" w:themeFillShade="BF"/>
          </w:tcPr>
          <w:p w:rsidR="00A45E6F" w:rsidRPr="00D767DC" w:rsidRDefault="001D3D2D" w:rsidP="003A599F">
            <w:pPr>
              <w:jc w:val="center"/>
              <w:rPr>
                <w:lang w:val="es-ES"/>
              </w:rPr>
            </w:pPr>
            <w:r w:rsidRPr="00D767DC">
              <w:rPr>
                <w:rFonts w:cs="Times New Roman"/>
                <w:sz w:val="18"/>
                <w:szCs w:val="18"/>
                <w:lang w:val="es-ES"/>
              </w:rPr>
              <w:t xml:space="preserve">Antes de cumplir los 4 años </w:t>
            </w: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</w:tr>
      <w:tr w:rsidR="00C5191D" w:rsidRPr="00D767DC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Intervención temprana</w:t>
            </w:r>
          </w:p>
          <w:p w:rsidR="00D76AA5" w:rsidRPr="00D767DC" w:rsidRDefault="00D76AA5" w:rsidP="00C5191D">
            <w:pPr>
              <w:rPr>
                <w:sz w:val="4"/>
                <w:szCs w:val="4"/>
                <w:lang w:val="es-ES"/>
              </w:rPr>
            </w:pP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21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35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69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Infancia</w:t>
            </w:r>
          </w:p>
          <w:p w:rsidR="00D76AA5" w:rsidRPr="00D767DC" w:rsidRDefault="00D76AA5" w:rsidP="00C5191D">
            <w:pPr>
              <w:rPr>
                <w:sz w:val="8"/>
                <w:szCs w:val="8"/>
                <w:lang w:val="es-ES"/>
              </w:rPr>
            </w:pPr>
          </w:p>
        </w:tc>
        <w:tc>
          <w:tcPr>
            <w:tcW w:w="13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8946" w:type="dxa"/>
            <w:gridSpan w:val="36"/>
            <w:shd w:val="clear" w:color="auto" w:fill="BFBFBF" w:themeFill="background1" w:themeFillShade="BF"/>
          </w:tcPr>
          <w:p w:rsidR="00A45E6F" w:rsidRPr="00D767DC" w:rsidRDefault="00C0400C" w:rsidP="00C0400C">
            <w:pPr>
              <w:jc w:val="center"/>
              <w:rPr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Hablar sobre la auto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ayuda, trastorno </w:t>
            </w:r>
            <w:r>
              <w:rPr>
                <w:sz w:val="18"/>
                <w:szCs w:val="18"/>
                <w:lang w:val="es-ES"/>
              </w:rPr>
              <w:t>de hiperactividad con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 </w:t>
            </w:r>
            <w:r w:rsidR="009E6D02" w:rsidRPr="00D767DC">
              <w:rPr>
                <w:sz w:val="18"/>
                <w:szCs w:val="18"/>
                <w:lang w:val="es-ES"/>
              </w:rPr>
              <w:t>déficit</w:t>
            </w:r>
            <w:r w:rsidR="001D3D2D" w:rsidRPr="00D767DC">
              <w:rPr>
                <w:sz w:val="18"/>
                <w:szCs w:val="18"/>
                <w:lang w:val="es-ES"/>
              </w:rPr>
              <w:t xml:space="preserve"> de atención (ADHD), trastorno compulsivo obsesivo (OCD), divagar, transición a la escuela </w:t>
            </w:r>
            <w:r>
              <w:rPr>
                <w:sz w:val="18"/>
                <w:szCs w:val="18"/>
                <w:lang w:val="es-ES"/>
              </w:rPr>
              <w:t>secundaria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A45E6F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Puber</w:t>
            </w:r>
            <w:r w:rsidR="00C5191D" w:rsidRPr="00D767DC">
              <w:rPr>
                <w:sz w:val="18"/>
                <w:szCs w:val="18"/>
                <w:lang w:val="es-ES"/>
              </w:rPr>
              <w:t>tad</w:t>
            </w:r>
          </w:p>
          <w:p w:rsidR="00A45E6F" w:rsidRPr="00D767DC" w:rsidRDefault="00A45E6F" w:rsidP="00C5191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8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30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446" w:type="dxa"/>
            <w:gridSpan w:val="17"/>
            <w:shd w:val="clear" w:color="auto" w:fill="BFBFBF" w:themeFill="background1" w:themeFillShade="BF"/>
          </w:tcPr>
          <w:p w:rsidR="00A45E6F" w:rsidRPr="00D767DC" w:rsidRDefault="001D3D2D" w:rsidP="00C0400C">
            <w:pPr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Hablar sobre los cambios físicos y psicosociales a </w:t>
            </w:r>
            <w:r w:rsidR="00C0400C">
              <w:rPr>
                <w:sz w:val="18"/>
                <w:szCs w:val="18"/>
                <w:lang w:val="es-ES"/>
              </w:rPr>
              <w:t>lo largo</w:t>
            </w:r>
            <w:r w:rsidRPr="00D767DC">
              <w:rPr>
                <w:sz w:val="18"/>
                <w:szCs w:val="18"/>
                <w:lang w:val="es-ES"/>
              </w:rPr>
              <w:t xml:space="preserve"> de la pubertad, la necesidad del cuidado ginecológico (exámenes pélvicos) </w:t>
            </w:r>
            <w:r w:rsidR="00C0400C">
              <w:rPr>
                <w:sz w:val="18"/>
                <w:szCs w:val="18"/>
                <w:lang w:val="es-ES"/>
              </w:rPr>
              <w:t>para</w:t>
            </w:r>
            <w:r w:rsidRPr="00D767DC">
              <w:rPr>
                <w:sz w:val="18"/>
                <w:szCs w:val="18"/>
                <w:lang w:val="es-ES"/>
              </w:rPr>
              <w:t xml:space="preserve"> la joven pubescente</w:t>
            </w:r>
          </w:p>
        </w:tc>
      </w:tr>
      <w:tr w:rsidR="00C5191D" w:rsidRPr="006666DB" w:rsidTr="006666DB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Facilitar la transición</w:t>
            </w:r>
          </w:p>
          <w:p w:rsidR="00A45E6F" w:rsidRPr="00D767DC" w:rsidRDefault="00A45E6F" w:rsidP="00C5191D">
            <w:pPr>
              <w:rPr>
                <w:sz w:val="18"/>
                <w:szCs w:val="18"/>
                <w:vertAlign w:val="superscript"/>
                <w:lang w:val="es-ES"/>
              </w:rPr>
            </w:pPr>
          </w:p>
        </w:tc>
        <w:tc>
          <w:tcPr>
            <w:tcW w:w="13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8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30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446" w:type="dxa"/>
            <w:gridSpan w:val="17"/>
            <w:shd w:val="clear" w:color="auto" w:fill="BFBFBF" w:themeFill="background1" w:themeFillShade="BF"/>
          </w:tcPr>
          <w:p w:rsidR="00A45E6F" w:rsidRPr="00D767DC" w:rsidRDefault="001D3D2D" w:rsidP="00C0400C">
            <w:pPr>
              <w:rPr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Tutoría, planificación financiera, problemas conductuales, ubicación escolar, </w:t>
            </w:r>
            <w:r w:rsidR="00C0400C">
              <w:rPr>
                <w:sz w:val="18"/>
                <w:szCs w:val="18"/>
                <w:lang w:val="es-ES"/>
              </w:rPr>
              <w:t>orientación</w:t>
            </w:r>
            <w:r w:rsidRPr="00D767DC">
              <w:rPr>
                <w:sz w:val="18"/>
                <w:szCs w:val="18"/>
                <w:lang w:val="es-ES"/>
              </w:rPr>
              <w:t xml:space="preserve"> vocacional</w:t>
            </w:r>
            <w:r w:rsidR="00A45E6F" w:rsidRPr="00D767DC">
              <w:rPr>
                <w:sz w:val="18"/>
                <w:szCs w:val="18"/>
                <w:lang w:val="es-ES"/>
              </w:rPr>
              <w:t>, independenc</w:t>
            </w:r>
            <w:r w:rsidRPr="00D767DC">
              <w:rPr>
                <w:sz w:val="18"/>
                <w:szCs w:val="18"/>
                <w:lang w:val="es-ES"/>
              </w:rPr>
              <w:t>ia con higiene y cuidado</w:t>
            </w:r>
            <w:r w:rsidR="00C0400C">
              <w:rPr>
                <w:sz w:val="18"/>
                <w:szCs w:val="18"/>
                <w:lang w:val="es-ES"/>
              </w:rPr>
              <w:t>s personales</w:t>
            </w:r>
            <w:r w:rsidRPr="00D767DC">
              <w:rPr>
                <w:sz w:val="18"/>
                <w:szCs w:val="18"/>
                <w:lang w:val="es-ES"/>
              </w:rPr>
              <w:t>, casas de apoyo, entornos laborales</w:t>
            </w:r>
          </w:p>
        </w:tc>
      </w:tr>
      <w:tr w:rsidR="00C5191D" w:rsidRPr="006666DB" w:rsidTr="006666DB">
        <w:trPr>
          <w:gridAfter w:val="1"/>
          <w:wAfter w:w="146" w:type="dxa"/>
          <w:trHeight w:val="717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vertAlign w:val="superscript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lastRenderedPageBreak/>
              <w:t>Desarrollo sexual y comportamientos</w:t>
            </w:r>
          </w:p>
        </w:tc>
        <w:tc>
          <w:tcPr>
            <w:tcW w:w="13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81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99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4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36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5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51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80" w:type="dxa"/>
            <w:gridSpan w:val="2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630" w:type="dxa"/>
            <w:gridSpan w:val="3"/>
          </w:tcPr>
          <w:p w:rsidR="00A45E6F" w:rsidRPr="00D767DC" w:rsidRDefault="00A45E6F">
            <w:pPr>
              <w:rPr>
                <w:lang w:val="es-ES"/>
              </w:rPr>
            </w:pPr>
          </w:p>
        </w:tc>
        <w:tc>
          <w:tcPr>
            <w:tcW w:w="4446" w:type="dxa"/>
            <w:gridSpan w:val="17"/>
            <w:shd w:val="clear" w:color="auto" w:fill="BFBFBF" w:themeFill="background1" w:themeFillShade="BF"/>
          </w:tcPr>
          <w:p w:rsidR="00A45E6F" w:rsidRPr="00D83C37" w:rsidRDefault="001D3D2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 xml:space="preserve">Hablar sobre los anticonceptivos, enfermedades </w:t>
            </w:r>
            <w:r w:rsidR="00C0400C">
              <w:rPr>
                <w:sz w:val="18"/>
                <w:szCs w:val="18"/>
                <w:lang w:val="es-ES"/>
              </w:rPr>
              <w:t>de</w:t>
            </w:r>
            <w:r w:rsidRPr="00D767DC">
              <w:rPr>
                <w:sz w:val="18"/>
                <w:szCs w:val="18"/>
                <w:lang w:val="es-ES"/>
              </w:rPr>
              <w:t xml:space="preserve"> transmisión sexual, riesgo de recurrencia en </w:t>
            </w:r>
            <w:r w:rsidR="00D83C37">
              <w:rPr>
                <w:sz w:val="18"/>
                <w:szCs w:val="18"/>
                <w:lang w:val="es-ES"/>
              </w:rPr>
              <w:t>la descendencia</w:t>
            </w:r>
          </w:p>
        </w:tc>
      </w:tr>
      <w:tr w:rsidR="00C5191D" w:rsidRPr="006666DB" w:rsidTr="00C5191D">
        <w:trPr>
          <w:gridAfter w:val="1"/>
          <w:wAfter w:w="146" w:type="dxa"/>
        </w:trPr>
        <w:tc>
          <w:tcPr>
            <w:tcW w:w="2358" w:type="dxa"/>
          </w:tcPr>
          <w:p w:rsidR="00A45E6F" w:rsidRPr="00D767DC" w:rsidRDefault="00C5191D" w:rsidP="00C5191D">
            <w:pPr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Cuidado preventivo</w:t>
            </w:r>
          </w:p>
          <w:p w:rsidR="00D76AA5" w:rsidRPr="00D767DC" w:rsidRDefault="00D76AA5" w:rsidP="00C5191D">
            <w:pPr>
              <w:rPr>
                <w:sz w:val="8"/>
                <w:szCs w:val="8"/>
                <w:lang w:val="es-ES"/>
              </w:rPr>
            </w:pPr>
          </w:p>
        </w:tc>
        <w:tc>
          <w:tcPr>
            <w:tcW w:w="12546" w:type="dxa"/>
            <w:gridSpan w:val="40"/>
            <w:shd w:val="clear" w:color="auto" w:fill="BFBFBF" w:themeFill="background1" w:themeFillShade="BF"/>
          </w:tcPr>
          <w:p w:rsidR="00A45E6F" w:rsidRPr="00D767DC" w:rsidRDefault="001D3D2D" w:rsidP="00D83C37">
            <w:pPr>
              <w:jc w:val="center"/>
              <w:rPr>
                <w:sz w:val="18"/>
                <w:szCs w:val="18"/>
                <w:lang w:val="es-ES"/>
              </w:rPr>
            </w:pPr>
            <w:r w:rsidRPr="00D767DC">
              <w:rPr>
                <w:sz w:val="18"/>
                <w:szCs w:val="18"/>
                <w:lang w:val="es-ES"/>
              </w:rPr>
              <w:t>Monitor</w:t>
            </w:r>
            <w:r w:rsidR="00D83C37">
              <w:rPr>
                <w:sz w:val="18"/>
                <w:szCs w:val="18"/>
                <w:lang w:val="es-ES"/>
              </w:rPr>
              <w:t>ización</w:t>
            </w:r>
            <w:r w:rsidRPr="00D767DC">
              <w:rPr>
                <w:sz w:val="18"/>
                <w:szCs w:val="18"/>
                <w:lang w:val="es-ES"/>
              </w:rPr>
              <w:t xml:space="preserve"> anual </w:t>
            </w:r>
            <w:r w:rsidR="00D83C37">
              <w:rPr>
                <w:sz w:val="18"/>
                <w:szCs w:val="18"/>
                <w:lang w:val="es-ES"/>
              </w:rPr>
              <w:t>ante</w:t>
            </w:r>
            <w:r w:rsidRPr="00D767DC">
              <w:rPr>
                <w:sz w:val="18"/>
                <w:szCs w:val="18"/>
                <w:lang w:val="es-ES"/>
              </w:rPr>
              <w:t xml:space="preserve"> señales y síntomas de estreñimien</w:t>
            </w:r>
            <w:r w:rsidR="00D83C37">
              <w:rPr>
                <w:sz w:val="18"/>
                <w:szCs w:val="18"/>
                <w:lang w:val="es-ES"/>
              </w:rPr>
              <w:t>to, apnea obstructiva del sueño</w:t>
            </w:r>
            <w:r w:rsidRPr="00D767DC">
              <w:rPr>
                <w:sz w:val="18"/>
                <w:szCs w:val="18"/>
                <w:lang w:val="es-ES"/>
              </w:rPr>
              <w:t xml:space="preserve"> y aspiración</w:t>
            </w:r>
            <w:r w:rsidR="00A45E6F" w:rsidRPr="00D767DC">
              <w:rPr>
                <w:sz w:val="18"/>
                <w:szCs w:val="18"/>
                <w:lang w:val="es-ES"/>
              </w:rPr>
              <w:t xml:space="preserve">. </w:t>
            </w:r>
          </w:p>
        </w:tc>
      </w:tr>
    </w:tbl>
    <w:p w:rsidR="00D76AA5" w:rsidRPr="002405F4" w:rsidRDefault="002405F4" w:rsidP="00D76AA5">
      <w:pPr>
        <w:pStyle w:val="ListParagraph"/>
        <w:numPr>
          <w:ilvl w:val="0"/>
          <w:numId w:val="1"/>
        </w:numPr>
        <w:rPr>
          <w:sz w:val="16"/>
          <w:szCs w:val="16"/>
          <w:lang w:val="es-ES"/>
        </w:rPr>
      </w:pPr>
      <w:r w:rsidRPr="002405F4">
        <w:rPr>
          <w:sz w:val="16"/>
          <w:szCs w:val="16"/>
          <w:lang w:val="es-ES"/>
        </w:rPr>
        <w:t xml:space="preserve">Hablar con los padres sobre el </w:t>
      </w:r>
      <w:r w:rsidR="00D83C37">
        <w:rPr>
          <w:sz w:val="16"/>
          <w:szCs w:val="16"/>
          <w:lang w:val="es-ES"/>
        </w:rPr>
        <w:t>índice</w:t>
      </w:r>
      <w:r w:rsidRPr="002405F4">
        <w:rPr>
          <w:sz w:val="16"/>
          <w:szCs w:val="16"/>
          <w:lang w:val="es-ES"/>
        </w:rPr>
        <w:t xml:space="preserve"> de recurrencia en </w:t>
      </w:r>
      <w:r w:rsidR="00D83C37">
        <w:rPr>
          <w:sz w:val="16"/>
          <w:szCs w:val="16"/>
          <w:lang w:val="es-ES"/>
        </w:rPr>
        <w:t>los</w:t>
      </w:r>
      <w:r w:rsidRPr="002405F4">
        <w:rPr>
          <w:sz w:val="16"/>
          <w:szCs w:val="16"/>
          <w:lang w:val="es-ES"/>
        </w:rPr>
        <w:t xml:space="preserve"> embarazos</w:t>
      </w:r>
      <w:r w:rsidR="00D83C37">
        <w:rPr>
          <w:sz w:val="16"/>
          <w:szCs w:val="16"/>
          <w:lang w:val="es-ES"/>
        </w:rPr>
        <w:t xml:space="preserve"> futuros</w:t>
      </w:r>
    </w:p>
    <w:p w:rsidR="00D76AA5" w:rsidRPr="002405F4" w:rsidRDefault="002405F4" w:rsidP="00D76AA5">
      <w:pPr>
        <w:pStyle w:val="ListParagraph"/>
        <w:numPr>
          <w:ilvl w:val="0"/>
          <w:numId w:val="1"/>
        </w:numPr>
        <w:rPr>
          <w:sz w:val="16"/>
          <w:szCs w:val="16"/>
          <w:lang w:val="es-ES"/>
        </w:rPr>
      </w:pPr>
      <w:r w:rsidRPr="002405F4">
        <w:rPr>
          <w:sz w:val="16"/>
          <w:szCs w:val="16"/>
          <w:lang w:val="es-ES"/>
        </w:rPr>
        <w:t xml:space="preserve">Vacuna neumocócica contra 23 tipos de bacteria si presenta </w:t>
      </w:r>
      <w:r w:rsidR="00D83C37">
        <w:rPr>
          <w:sz w:val="16"/>
          <w:szCs w:val="16"/>
          <w:lang w:val="es-ES"/>
        </w:rPr>
        <w:t>neumopatía</w:t>
      </w:r>
      <w:r w:rsidRPr="002405F4">
        <w:rPr>
          <w:sz w:val="16"/>
          <w:szCs w:val="16"/>
          <w:lang w:val="es-ES"/>
        </w:rPr>
        <w:t xml:space="preserve"> crónica</w:t>
      </w:r>
      <w:r w:rsidR="00D76AA5" w:rsidRPr="002405F4">
        <w:rPr>
          <w:sz w:val="16"/>
          <w:szCs w:val="16"/>
          <w:lang w:val="es-ES"/>
        </w:rPr>
        <w:t>.</w:t>
      </w:r>
    </w:p>
    <w:p w:rsidR="00D76AA5" w:rsidRPr="006666DB" w:rsidRDefault="00D76AA5" w:rsidP="006666DB">
      <w:pPr>
        <w:pStyle w:val="ListParagraph"/>
        <w:numPr>
          <w:ilvl w:val="0"/>
          <w:numId w:val="1"/>
        </w:numPr>
        <w:rPr>
          <w:sz w:val="16"/>
          <w:szCs w:val="16"/>
          <w:lang w:val="es-ES"/>
        </w:rPr>
      </w:pPr>
      <w:r w:rsidRPr="00D83C37">
        <w:rPr>
          <w:sz w:val="16"/>
          <w:szCs w:val="16"/>
          <w:lang w:val="es-ES"/>
        </w:rPr>
        <w:t xml:space="preserve">AAI: </w:t>
      </w:r>
      <w:r w:rsidR="00D83C37" w:rsidRPr="00D83C37">
        <w:rPr>
          <w:sz w:val="16"/>
          <w:szCs w:val="16"/>
          <w:lang w:val="es-ES"/>
        </w:rPr>
        <w:t>Lea las pautas de la Academia Americana de Pediatría</w:t>
      </w:r>
      <w:r w:rsidR="00D83C37">
        <w:rPr>
          <w:sz w:val="16"/>
          <w:szCs w:val="16"/>
          <w:lang w:val="es-ES"/>
        </w:rPr>
        <w:t>(</w:t>
      </w:r>
      <w:r w:rsidRPr="00D83C37">
        <w:rPr>
          <w:sz w:val="16"/>
          <w:szCs w:val="16"/>
          <w:lang w:val="es-ES"/>
        </w:rPr>
        <w:t xml:space="preserve"> AAP</w:t>
      </w:r>
      <w:r w:rsidR="00D83C37">
        <w:rPr>
          <w:sz w:val="16"/>
          <w:szCs w:val="16"/>
          <w:lang w:val="es-ES"/>
        </w:rPr>
        <w:t>, por sus siglas en inglés) página</w:t>
      </w:r>
      <w:r w:rsidRPr="00D83C37">
        <w:rPr>
          <w:sz w:val="16"/>
          <w:szCs w:val="16"/>
          <w:lang w:val="es-ES"/>
        </w:rPr>
        <w:t xml:space="preserve"> 399 </w:t>
      </w:r>
      <w:r w:rsidR="00D83C37">
        <w:rPr>
          <w:sz w:val="16"/>
          <w:szCs w:val="16"/>
          <w:lang w:val="es-ES"/>
        </w:rPr>
        <w:t>–</w:t>
      </w:r>
      <w:r w:rsidRPr="00D83C37">
        <w:rPr>
          <w:sz w:val="16"/>
          <w:szCs w:val="16"/>
          <w:lang w:val="es-ES"/>
        </w:rPr>
        <w:t xml:space="preserve"> </w:t>
      </w:r>
      <w:r w:rsidR="00D83C37">
        <w:rPr>
          <w:sz w:val="16"/>
          <w:szCs w:val="16"/>
          <w:lang w:val="es-ES"/>
        </w:rPr>
        <w:t>radiografías solamente si manifiesta indicios o síntomas de miopatía</w:t>
      </w:r>
    </w:p>
    <w:p w:rsidR="006666DB" w:rsidRDefault="002405F4" w:rsidP="006666DB">
      <w:pPr>
        <w:pStyle w:val="ListParagraph"/>
        <w:numPr>
          <w:ilvl w:val="0"/>
          <w:numId w:val="1"/>
        </w:numPr>
        <w:rPr>
          <w:sz w:val="16"/>
          <w:szCs w:val="16"/>
          <w:lang w:val="es-ES"/>
        </w:rPr>
      </w:pPr>
      <w:bookmarkStart w:id="0" w:name="_GoBack"/>
      <w:r w:rsidRPr="002405F4">
        <w:rPr>
          <w:sz w:val="16"/>
          <w:szCs w:val="16"/>
          <w:lang w:val="es-ES"/>
        </w:rPr>
        <w:t>El cardiólogo determina el seguimiento</w:t>
      </w:r>
      <w:bookmarkEnd w:id="0"/>
      <w:r>
        <w:rPr>
          <w:sz w:val="16"/>
          <w:szCs w:val="16"/>
          <w:lang w:val="es-ES"/>
        </w:rPr>
        <w:tab/>
      </w:r>
    </w:p>
    <w:p w:rsidR="00F02584" w:rsidRPr="006666DB" w:rsidRDefault="006666DB" w:rsidP="006666DB">
      <w:pPr>
        <w:pStyle w:val="ListParagraph"/>
        <w:ind w:left="2790"/>
        <w:rPr>
          <w:sz w:val="16"/>
          <w:szCs w:val="16"/>
          <w:lang w:val="es-ES"/>
        </w:rPr>
      </w:pPr>
      <w:r w:rsidRPr="006666DB">
        <w:rPr>
          <w:i/>
          <w:sz w:val="16"/>
          <w:szCs w:val="16"/>
          <w:lang w:val="es-MX"/>
        </w:rPr>
        <w:t>*</w:t>
      </w:r>
      <w:proofErr w:type="spellStart"/>
      <w:r w:rsidRPr="006666DB">
        <w:rPr>
          <w:b/>
          <w:i/>
          <w:color w:val="1F497D"/>
          <w:sz w:val="16"/>
          <w:szCs w:val="16"/>
          <w:lang w:val="es-MX"/>
        </w:rPr>
        <w:t>Peds</w:t>
      </w:r>
      <w:proofErr w:type="spellEnd"/>
      <w:r w:rsidRPr="006666DB">
        <w:rPr>
          <w:b/>
          <w:i/>
          <w:color w:val="1F497D"/>
          <w:sz w:val="16"/>
          <w:szCs w:val="16"/>
          <w:lang w:val="es-MX"/>
        </w:rPr>
        <w:t xml:space="preserve">  </w:t>
      </w:r>
      <w:proofErr w:type="gramStart"/>
      <w:r w:rsidRPr="006666DB">
        <w:rPr>
          <w:b/>
          <w:i/>
          <w:color w:val="1F497D"/>
          <w:sz w:val="16"/>
          <w:szCs w:val="16"/>
          <w:lang w:val="es-MX"/>
        </w:rPr>
        <w:t>2011 ;128</w:t>
      </w:r>
      <w:proofErr w:type="gramEnd"/>
      <w:r w:rsidRPr="006666DB">
        <w:rPr>
          <w:b/>
          <w:i/>
          <w:color w:val="1F497D"/>
          <w:sz w:val="16"/>
          <w:szCs w:val="16"/>
          <w:lang w:val="es-MX"/>
        </w:rPr>
        <w:t xml:space="preserve"> :393-406</w:t>
      </w:r>
      <w:r w:rsidRPr="006666DB">
        <w:rPr>
          <w:b/>
          <w:color w:val="1F497D"/>
          <w:sz w:val="16"/>
          <w:szCs w:val="16"/>
          <w:lang w:val="es-MX"/>
        </w:rPr>
        <w:t xml:space="preserve">  Esquema del Centro </w:t>
      </w:r>
      <w:proofErr w:type="spellStart"/>
      <w:r w:rsidRPr="006666DB">
        <w:rPr>
          <w:b/>
          <w:color w:val="1F497D"/>
          <w:sz w:val="16"/>
          <w:szCs w:val="16"/>
          <w:lang w:val="es-MX"/>
        </w:rPr>
        <w:t>Sie</w:t>
      </w:r>
      <w:proofErr w:type="spellEnd"/>
      <w:r w:rsidRPr="006666DB">
        <w:rPr>
          <w:b/>
          <w:color w:val="1F497D"/>
          <w:sz w:val="16"/>
          <w:szCs w:val="16"/>
          <w:lang w:val="es-MX"/>
        </w:rPr>
        <w:t xml:space="preserve"> para el síndrome de Down</w:t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  <w:t xml:space="preserve">                              </w:t>
      </w:r>
      <w:r w:rsidR="002405F4" w:rsidRPr="006666DB">
        <w:rPr>
          <w:sz w:val="16"/>
          <w:szCs w:val="16"/>
          <w:lang w:val="es-ES"/>
        </w:rPr>
        <w:t xml:space="preserve">  Actualización</w:t>
      </w:r>
      <w:r w:rsidR="00AF61D2" w:rsidRPr="006666DB">
        <w:rPr>
          <w:sz w:val="16"/>
          <w:szCs w:val="16"/>
          <w:lang w:val="es-ES"/>
        </w:rPr>
        <w:t xml:space="preserve"> 09/2013</w:t>
      </w:r>
    </w:p>
    <w:sectPr w:rsidR="00F02584" w:rsidRPr="006666DB" w:rsidSect="00D767DC">
      <w:headerReference w:type="default" r:id="rId7"/>
      <w:pgSz w:w="15840" w:h="12240" w:orient="landscape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0C" w:rsidRDefault="00C0400C" w:rsidP="00770E4B">
      <w:pPr>
        <w:spacing w:after="0" w:line="240" w:lineRule="auto"/>
      </w:pPr>
      <w:r>
        <w:separator/>
      </w:r>
    </w:p>
  </w:endnote>
  <w:endnote w:type="continuationSeparator" w:id="0">
    <w:p w:rsidR="00C0400C" w:rsidRDefault="00C0400C" w:rsidP="0077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0C" w:rsidRDefault="00C0400C" w:rsidP="00770E4B">
      <w:pPr>
        <w:spacing w:after="0" w:line="240" w:lineRule="auto"/>
      </w:pPr>
      <w:r>
        <w:separator/>
      </w:r>
    </w:p>
  </w:footnote>
  <w:footnote w:type="continuationSeparator" w:id="0">
    <w:p w:rsidR="00C0400C" w:rsidRDefault="00C0400C" w:rsidP="0077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0C" w:rsidRDefault="00C0400C" w:rsidP="00770E4B">
    <w:pPr>
      <w:pStyle w:val="Header"/>
      <w:jc w:val="center"/>
      <w:rPr>
        <w:b/>
        <w:sz w:val="30"/>
        <w:szCs w:val="30"/>
        <w:lang w:val="es-ES"/>
      </w:rPr>
    </w:pPr>
    <w:r w:rsidRPr="00C5191D">
      <w:rPr>
        <w:b/>
        <w:sz w:val="30"/>
        <w:szCs w:val="30"/>
        <w:lang w:val="es-ES"/>
      </w:rPr>
      <w:t xml:space="preserve">Hoja de registro para </w:t>
    </w:r>
    <w:r>
      <w:rPr>
        <w:b/>
        <w:sz w:val="30"/>
        <w:szCs w:val="30"/>
        <w:lang w:val="es-ES"/>
      </w:rPr>
      <w:t>las pautas sanitarias</w:t>
    </w:r>
    <w:r w:rsidRPr="00C5191D">
      <w:rPr>
        <w:b/>
        <w:sz w:val="30"/>
        <w:szCs w:val="30"/>
        <w:lang w:val="es-ES"/>
      </w:rPr>
      <w:t xml:space="preserve"> de </w:t>
    </w:r>
    <w:r>
      <w:rPr>
        <w:b/>
        <w:sz w:val="30"/>
        <w:szCs w:val="30"/>
        <w:lang w:val="es-ES"/>
      </w:rPr>
      <w:t xml:space="preserve">pacientes con </w:t>
    </w:r>
    <w:r w:rsidRPr="00C5191D">
      <w:rPr>
        <w:b/>
        <w:sz w:val="30"/>
        <w:szCs w:val="30"/>
        <w:lang w:val="es-ES"/>
      </w:rPr>
      <w:t>s</w:t>
    </w:r>
    <w:r>
      <w:rPr>
        <w:b/>
        <w:sz w:val="30"/>
        <w:szCs w:val="30"/>
        <w:lang w:val="es-ES"/>
      </w:rPr>
      <w:t xml:space="preserve">índrome de Down </w:t>
    </w:r>
    <w:r w:rsidRPr="00061320">
      <w:rPr>
        <w:b/>
        <w:sz w:val="28"/>
        <w:szCs w:val="28"/>
        <w:lang w:val="es-ES"/>
      </w:rPr>
      <w:t>(revisión del 2011)</w:t>
    </w:r>
  </w:p>
  <w:p w:rsidR="00C0400C" w:rsidRPr="00061320" w:rsidRDefault="00C0400C" w:rsidP="00770E4B">
    <w:pPr>
      <w:pStyle w:val="Header"/>
      <w:jc w:val="center"/>
      <w:rPr>
        <w:b/>
        <w:i/>
        <w:sz w:val="20"/>
        <w:szCs w:val="20"/>
      </w:rPr>
    </w:pPr>
    <w:r w:rsidRPr="00061320">
      <w:rPr>
        <w:b/>
        <w:i/>
        <w:sz w:val="20"/>
        <w:szCs w:val="20"/>
      </w:rPr>
      <w:t>Down Syndrome Healthcare Guidelines (2011 Revision) Record Sheet*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B19"/>
    <w:multiLevelType w:val="hybridMultilevel"/>
    <w:tmpl w:val="FEE2DFBC"/>
    <w:lvl w:ilvl="0" w:tplc="57E2D69E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4B"/>
    <w:rsid w:val="00061320"/>
    <w:rsid w:val="00103EB8"/>
    <w:rsid w:val="001C094B"/>
    <w:rsid w:val="001D3D2D"/>
    <w:rsid w:val="002405F4"/>
    <w:rsid w:val="003A599F"/>
    <w:rsid w:val="0043745A"/>
    <w:rsid w:val="005C4E3E"/>
    <w:rsid w:val="00605D55"/>
    <w:rsid w:val="006666DB"/>
    <w:rsid w:val="006755EF"/>
    <w:rsid w:val="00707AB7"/>
    <w:rsid w:val="00770E4B"/>
    <w:rsid w:val="009E6D02"/>
    <w:rsid w:val="00A45E6F"/>
    <w:rsid w:val="00A82F48"/>
    <w:rsid w:val="00AF61D2"/>
    <w:rsid w:val="00C0400C"/>
    <w:rsid w:val="00C5191D"/>
    <w:rsid w:val="00CE63F9"/>
    <w:rsid w:val="00D767DC"/>
    <w:rsid w:val="00D76AA5"/>
    <w:rsid w:val="00D83C37"/>
    <w:rsid w:val="00F0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4B"/>
  </w:style>
  <w:style w:type="paragraph" w:styleId="Footer">
    <w:name w:val="footer"/>
    <w:basedOn w:val="Normal"/>
    <w:link w:val="FooterChar"/>
    <w:uiPriority w:val="99"/>
    <w:semiHidden/>
    <w:unhideWhenUsed/>
    <w:rsid w:val="0077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E4B"/>
  </w:style>
  <w:style w:type="table" w:styleId="TableGrid">
    <w:name w:val="Table Grid"/>
    <w:basedOn w:val="TableNormal"/>
    <w:uiPriority w:val="59"/>
    <w:rsid w:val="0077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AA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124464</dc:creator>
  <cp:keywords/>
  <dc:description/>
  <cp:lastModifiedBy>124464</cp:lastModifiedBy>
  <cp:revision>2</cp:revision>
  <dcterms:created xsi:type="dcterms:W3CDTF">2013-10-01T14:38:00Z</dcterms:created>
  <dcterms:modified xsi:type="dcterms:W3CDTF">2013-10-01T14:38:00Z</dcterms:modified>
</cp:coreProperties>
</file>